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after="156"/>
      </w:pPr>
      <w:r>
        <w:rPr>
          <w:rFonts w:hint="eastAsia"/>
          <w:lang w:val="en-US" w:eastAsia="zh-CN"/>
        </w:rPr>
        <w:t>货物</w:t>
      </w:r>
      <w:r>
        <w:rPr>
          <w:rFonts w:hint="eastAsia"/>
        </w:rPr>
        <w:t>采购</w:t>
      </w:r>
    </w:p>
    <w:p>
      <w:pPr>
        <w:ind w:firstLine="562"/>
      </w:pPr>
      <w:r>
        <w:rPr>
          <w:rFonts w:hint="eastAsia"/>
          <w:b/>
        </w:rPr>
        <w:t>操作者</w:t>
      </w:r>
      <w:r>
        <w:rPr>
          <w:rFonts w:hint="eastAsia"/>
        </w:rPr>
        <w:t>：采购单位</w:t>
      </w:r>
      <w:r>
        <w:rPr>
          <w:rFonts w:hint="eastAsia"/>
          <w:b/>
        </w:rPr>
        <w:t>计划管理员</w:t>
      </w:r>
      <w:r>
        <w:rPr>
          <w:rFonts w:hint="eastAsia"/>
        </w:rPr>
        <w:t>、</w:t>
      </w:r>
      <w:r>
        <w:rPr>
          <w:rFonts w:hint="eastAsia"/>
          <w:b/>
        </w:rPr>
        <w:t>采购经办员</w:t>
      </w:r>
      <w:r>
        <w:rPr>
          <w:rFonts w:hint="eastAsia"/>
        </w:rPr>
        <w:t>用户</w:t>
      </w:r>
    </w:p>
    <w:p>
      <w:pPr>
        <w:pStyle w:val="3"/>
        <w:numPr>
          <w:ilvl w:val="1"/>
          <w:numId w:val="0"/>
        </w:numPr>
        <w:spacing w:after="156"/>
      </w:pPr>
      <w:bookmarkStart w:id="0" w:name="_Toc502033568"/>
      <w:r>
        <w:rPr>
          <w:rFonts w:hint="eastAsia"/>
        </w:rPr>
        <w:t>1计划授权</w:t>
      </w:r>
      <w:bookmarkEnd w:id="0"/>
    </w:p>
    <w:p>
      <w:pPr>
        <w:ind w:firstLine="560"/>
      </w:pPr>
      <w:r>
        <w:rPr>
          <w:rFonts w:hint="eastAsia"/>
        </w:rPr>
        <w:t>计划授权由</w:t>
      </w:r>
      <w:r>
        <w:rPr>
          <w:rFonts w:hint="eastAsia"/>
          <w:b/>
        </w:rPr>
        <w:t>计划管理员</w:t>
      </w:r>
      <w:r>
        <w:rPr>
          <w:rFonts w:hint="eastAsia"/>
        </w:rPr>
        <w:t>操作。</w:t>
      </w:r>
    </w:p>
    <w:p>
      <w:pPr>
        <w:ind w:firstLine="562"/>
      </w:pPr>
      <w:r>
        <w:rPr>
          <w:rFonts w:hint="eastAsia"/>
          <w:b/>
        </w:rPr>
        <w:t>步骤一：</w:t>
      </w:r>
      <w:r>
        <w:rPr>
          <w:rFonts w:hint="eastAsia"/>
          <w:bCs/>
        </w:rPr>
        <w:t>计划是由</w:t>
      </w:r>
      <w:r>
        <w:rPr>
          <w:rFonts w:hint="eastAsia"/>
          <w:bCs/>
          <w:color w:val="000000" w:themeColor="text1"/>
          <w14:textFill>
            <w14:solidFill>
              <w14:schemeClr w14:val="tx1"/>
            </w14:solidFill>
          </w14:textFill>
        </w:rPr>
        <w:t>系统后台定时从财政预算监督执行管理计划系统自动获取</w:t>
      </w:r>
      <w:r>
        <w:rPr>
          <w:rFonts w:hint="eastAsia"/>
          <w:bCs/>
          <w:color w:val="FF0000"/>
        </w:rPr>
        <w:t>（获取的前提条件为，采购人在预算监督执行管理系统申报的计划正确或成功）</w:t>
      </w:r>
    </w:p>
    <w:p>
      <w:pPr>
        <w:ind w:firstLine="562"/>
      </w:pPr>
      <w:r>
        <w:rPr>
          <w:rFonts w:hint="eastAsia"/>
          <w:b/>
        </w:rPr>
        <w:t>步骤二：</w:t>
      </w:r>
      <w:r>
        <w:rPr>
          <w:rFonts w:hint="eastAsia"/>
        </w:rPr>
        <w:t>计划对接后，可由计划管理员对该计划进行授权，授权给采购经办员，只有在计划授权后方可进入下一个过程。</w:t>
      </w:r>
    </w:p>
    <w:p>
      <w:pPr>
        <w:ind w:firstLine="560"/>
      </w:pPr>
      <w:r>
        <w:rPr>
          <w:rFonts w:hint="eastAsia"/>
        </w:rPr>
        <w:t>在主页左侧菜单中，</w:t>
      </w:r>
      <w:r>
        <w:t>点击</w:t>
      </w:r>
      <w:r>
        <w:rPr>
          <w:rFonts w:hint="eastAsia"/>
        </w:rPr>
        <w:t>“</w:t>
      </w:r>
      <w:r>
        <w:t>计划授权</w:t>
      </w:r>
      <w:r>
        <w:rPr>
          <w:rFonts w:hint="eastAsia"/>
        </w:rPr>
        <w:t>”，进入计划授权页面。计划列表中还未被授权的计划会有授权操作，已经授权过的计划无法再次授权。</w:t>
      </w:r>
    </w:p>
    <w:p>
      <w:pPr>
        <w:ind w:firstLine="0" w:firstLineChars="0"/>
        <w:jc w:val="center"/>
      </w:pPr>
      <w:r>
        <w:drawing>
          <wp:inline distT="0" distB="0" distL="114300" distR="114300">
            <wp:extent cx="5562600" cy="2358390"/>
            <wp:effectExtent l="0" t="0" r="0" b="381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235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步骤三：</w:t>
      </w:r>
      <w:r>
        <w:rPr>
          <w:rFonts w:hint="eastAsia"/>
        </w:rPr>
        <w:t>授权计划。</w:t>
      </w:r>
      <w:r>
        <w:t>点击</w:t>
      </w:r>
      <w:r>
        <w:rPr>
          <w:rFonts w:hint="eastAsia"/>
        </w:rPr>
        <w:t>“授权”按钮，进入授权页面，如下图：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777865" cy="1794510"/>
            <wp:effectExtent l="0" t="0" r="13335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80339" cy="179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t>选择完授权人后</w:t>
      </w:r>
      <w:r>
        <w:rPr>
          <w:rFonts w:hint="eastAsia"/>
        </w:rPr>
        <w:t>，点击“提交”按钮，即可完成授权操作。</w:t>
      </w:r>
    </w:p>
    <w:p/>
    <w:p>
      <w:pPr>
        <w:pStyle w:val="3"/>
        <w:numPr>
          <w:ilvl w:val="1"/>
          <w:numId w:val="0"/>
        </w:numPr>
        <w:spacing w:after="156"/>
        <w:ind w:leftChars="0"/>
      </w:pPr>
      <w:bookmarkStart w:id="1" w:name="_Toc502033559"/>
      <w:r>
        <w:rPr>
          <w:rFonts w:hint="eastAsia"/>
          <w:lang w:val="en-US" w:eastAsia="zh-CN"/>
        </w:rPr>
        <w:t>2</w:t>
      </w:r>
      <w:r>
        <w:rPr>
          <w:rFonts w:hint="eastAsia"/>
        </w:rPr>
        <w:t>计划拆分</w:t>
      </w:r>
      <w:bookmarkEnd w:id="1"/>
    </w:p>
    <w:p>
      <w:pPr>
        <w:ind w:firstLine="560"/>
        <w:rPr>
          <w:rFonts w:hint="eastAsia"/>
        </w:rPr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firstLine="560"/>
        <w:rPr>
          <w:rFonts w:hint="eastAsia"/>
        </w:rPr>
      </w:pPr>
      <w:r>
        <w:rPr>
          <w:rFonts w:hint="eastAsia"/>
          <w:b/>
        </w:rPr>
        <w:t>步骤一：</w:t>
      </w:r>
      <w:r>
        <w:rPr>
          <w:rFonts w:hint="eastAsia" w:ascii="仿宋" w:hAnsi="仿宋" w:eastAsia="仿宋" w:cs="仿宋"/>
          <w:sz w:val="28"/>
          <w:szCs w:val="28"/>
        </w:rPr>
        <w:t>点击“我的计划”，进入分配给自己的计划列表页面。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输入关键字为条件即可进行计划查询，点击“重置”按钮即可清空输入的条件，以便重新输入条件进行查询；若某计划已经完成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且已进行支付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可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点击“完结”按钮。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注意：完结后，</w:t>
      </w:r>
      <w:r>
        <w:rPr>
          <w:rFonts w:hint="eastAsia" w:ascii="仿宋" w:hAnsi="仿宋" w:eastAsia="仿宋" w:cs="仿宋"/>
          <w:color w:val="FF0000"/>
          <w:sz w:val="28"/>
          <w:szCs w:val="28"/>
          <w:lang w:val="zh-CN"/>
        </w:rPr>
        <w:t>此计划状态变更为已完成，并且此计划下所有的明细计划都将不能再进行操作；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若计划状态为“授权”状态，则操作栏不会有“完结”按钮，说明该计划还没有被执行。计划列表如下图：</w:t>
      </w:r>
    </w:p>
    <w:p>
      <w:pPr>
        <w:ind w:firstLine="562"/>
        <w:rPr>
          <w:rFonts w:hint="eastAsia"/>
        </w:rPr>
      </w:pPr>
      <w:r>
        <w:drawing>
          <wp:inline distT="0" distB="0" distL="114300" distR="114300">
            <wp:extent cx="5272405" cy="2009775"/>
            <wp:effectExtent l="0" t="0" r="635" b="190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</w:pPr>
      <w:r>
        <w:drawing>
          <wp:inline distT="0" distB="0" distL="0" distR="0">
            <wp:extent cx="5463540" cy="2225675"/>
            <wp:effectExtent l="0" t="0" r="7620" b="1460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6068" cy="2226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t>点击</w:t>
      </w:r>
      <w:r>
        <w:rPr>
          <w:rFonts w:hint="eastAsia"/>
        </w:rPr>
        <w:t>“返回”即可返回到我的计划列表。</w:t>
      </w:r>
    </w:p>
    <w:p>
      <w:pPr>
        <w:ind w:firstLine="562"/>
      </w:pPr>
      <w:r>
        <w:rPr>
          <w:rFonts w:hint="eastAsia"/>
          <w:b/>
        </w:rPr>
        <w:t>步骤二：</w:t>
      </w:r>
      <w:r>
        <w:rPr>
          <w:rFonts w:hint="eastAsia"/>
        </w:rPr>
        <w:t>拆分计划。如果不需要拆分为多个明细计划，则</w:t>
      </w:r>
      <w:r>
        <w:t>点击</w:t>
      </w:r>
      <w:r>
        <w:rPr>
          <w:rFonts w:hint="eastAsia"/>
        </w:rPr>
        <w:t>“一键拆分”按钮，系统将剩余可拆分金额、可拆分数量一次性拆分完成；如果需要将计划拆分成多个明细计划，</w:t>
      </w:r>
      <w:r>
        <w:rPr>
          <w:rFonts w:hint="eastAsia"/>
          <w:lang w:val="en-US" w:eastAsia="zh-CN"/>
        </w:rPr>
        <w:t>则</w:t>
      </w:r>
      <w:r>
        <w:t>点击</w:t>
      </w:r>
      <w:r>
        <w:rPr>
          <w:rFonts w:hint="eastAsia"/>
        </w:rPr>
        <w:t>“计划拆分”将跳转到计划拆分页面，如下图 。需要注意的，计划明细金额不得大于可拆分金额，商品数量不得大于可拆分数量。</w:t>
      </w:r>
    </w:p>
    <w:p>
      <w:pPr>
        <w:ind w:firstLine="0" w:firstLineChars="0"/>
        <w:jc w:val="center"/>
      </w:pPr>
      <w:r>
        <w:drawing>
          <wp:inline distT="0" distB="0" distL="0" distR="0">
            <wp:extent cx="5332730" cy="756920"/>
            <wp:effectExtent l="0" t="0" r="1270" b="508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1668" cy="7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步骤三：</w:t>
      </w:r>
      <w:r>
        <w:rPr>
          <w:rFonts w:hint="eastAsia"/>
        </w:rPr>
        <w:t>保存/提交计划。填写完计划明细信息后，若点击“保存”按钮，此计划明细数据将保存但状态为“未提交”。若未提交，明细计划列表中操作栏将会有一个提交按钮，点击“提交”按钮即可进行“下一步”操作；若点击“提交”，此计划明细状态将会为未启动。如下图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273040" cy="2547620"/>
            <wp:effectExtent l="0" t="0" r="0" b="1270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077" cy="254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t>点击</w:t>
      </w:r>
      <w:r>
        <w:rPr>
          <w:rFonts w:hint="eastAsia"/>
        </w:rPr>
        <w:t>“取消计划明细”后此明细计划将变为“终止”状态。</w:t>
      </w:r>
    </w:p>
    <w:p>
      <w:pPr>
        <w:pStyle w:val="3"/>
        <w:numPr>
          <w:ilvl w:val="1"/>
          <w:numId w:val="0"/>
        </w:numPr>
        <w:spacing w:after="156"/>
        <w:ind w:leftChars="0"/>
      </w:pPr>
      <w:bookmarkStart w:id="2" w:name="_Toc502033560"/>
      <w:r>
        <w:rPr>
          <w:rFonts w:hint="eastAsia"/>
          <w:lang w:val="en-US" w:eastAsia="zh-CN"/>
        </w:rPr>
        <w:t>3</w:t>
      </w:r>
      <w:r>
        <w:rPr>
          <w:rFonts w:hint="eastAsia"/>
        </w:rPr>
        <w:t>采购过程</w:t>
      </w:r>
      <w:bookmarkEnd w:id="2"/>
    </w:p>
    <w:p>
      <w:pPr>
        <w:ind w:firstLine="560"/>
      </w:pPr>
      <w:r>
        <w:rPr>
          <w:rFonts w:hint="eastAsia"/>
        </w:rPr>
        <w:t>用户做完计划之后，可开始采购交易，整个交易过程大致包括</w:t>
      </w:r>
      <w:r>
        <w:rPr>
          <w:rFonts w:hint="eastAsia"/>
          <w:lang w:val="en-US" w:eastAsia="zh-CN"/>
        </w:rPr>
        <w:t>公开</w:t>
      </w:r>
      <w:r>
        <w:rPr>
          <w:rFonts w:hint="eastAsia"/>
        </w:rPr>
        <w:t>竞价/比价、生成合同、履约验收、评价管理等操作。在实际操作过程中，</w:t>
      </w:r>
      <w:r>
        <w:rPr>
          <w:rFonts w:hint="eastAsia"/>
          <w:lang w:val="en-US" w:eastAsia="zh-CN"/>
        </w:rPr>
        <w:t>公开</w:t>
      </w:r>
      <w:r>
        <w:rPr>
          <w:rFonts w:hint="eastAsia"/>
        </w:rPr>
        <w:t>竞价</w:t>
      </w:r>
      <w:r>
        <w:rPr>
          <w:rFonts w:hint="eastAsia"/>
          <w:lang w:eastAsia="zh-CN"/>
        </w:rPr>
        <w:t>、</w:t>
      </w:r>
      <w:r>
        <w:rPr>
          <w:rFonts w:hint="eastAsia"/>
        </w:rPr>
        <w:t>比价</w:t>
      </w:r>
      <w:r>
        <w:rPr>
          <w:rFonts w:hint="eastAsia"/>
          <w:lang w:val="en-US" w:eastAsia="zh-CN"/>
        </w:rPr>
        <w:t>或议价</w:t>
      </w:r>
      <w:r>
        <w:rPr>
          <w:rFonts w:hint="eastAsia"/>
        </w:rPr>
        <w:t>为不同交易方式，同一个计划明细只能选择其中一种方式。</w:t>
      </w:r>
    </w:p>
    <w:p>
      <w:pPr>
        <w:pStyle w:val="4"/>
        <w:numPr>
          <w:ilvl w:val="2"/>
          <w:numId w:val="0"/>
        </w:numPr>
        <w:spacing w:after="156"/>
        <w:ind w:leftChars="0"/>
        <w:rPr>
          <w:rFonts w:hint="eastAsia"/>
        </w:rPr>
      </w:pPr>
      <w:bookmarkStart w:id="3" w:name="_Toc502033561"/>
      <w:r>
        <w:rPr>
          <w:rFonts w:hint="eastAsia"/>
          <w:lang w:val="en-US" w:eastAsia="zh-CN"/>
        </w:rPr>
        <w:t>4公开</w:t>
      </w:r>
      <w:r>
        <w:rPr>
          <w:rFonts w:hint="eastAsia"/>
        </w:rPr>
        <w:t>竞价</w:t>
      </w:r>
      <w:bookmarkEnd w:id="3"/>
    </w:p>
    <w:p>
      <w:pPr>
        <w:ind w:firstLine="560"/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firstLine="560"/>
      </w:pPr>
      <w:r>
        <w:rPr>
          <w:rFonts w:hint="eastAsia"/>
          <w:lang w:val="en-US" w:eastAsia="zh-CN"/>
        </w:rPr>
        <w:t>公开</w:t>
      </w:r>
      <w:r>
        <w:rPr>
          <w:rFonts w:hint="eastAsia"/>
        </w:rPr>
        <w:t>竞价分为单品牌竞价与多品牌竞价，单品牌竞价只允许同一个品牌货物的经销商进行竞价，而多品牌竞价允许多个品牌经销商进行竞价。两种竞价方式操作过程基本一致，下面以单品牌竞价为例，介绍竞价过程：</w:t>
      </w:r>
    </w:p>
    <w:p>
      <w:pPr>
        <w:ind w:firstLine="560"/>
        <w:rPr>
          <w:rFonts w:hint="default" w:eastAsia="仿宋"/>
          <w:lang w:val="en-US" w:eastAsia="zh-CN"/>
        </w:rPr>
      </w:pPr>
      <w:r>
        <w:rPr>
          <w:rFonts w:hint="eastAsia"/>
        </w:rPr>
        <w:t>目前为止，计划已经被拆分，且已提交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点击下一步，即到购物车页面。</w:t>
      </w:r>
    </w:p>
    <w:p>
      <w:pPr>
        <w:ind w:firstLine="562"/>
      </w:pPr>
      <w:r>
        <w:rPr>
          <w:rFonts w:hint="eastAsia"/>
          <w:b/>
        </w:rPr>
        <w:t>步骤一：</w:t>
      </w:r>
      <w:r>
        <w:rPr>
          <w:rFonts w:hint="eastAsia"/>
        </w:rPr>
        <w:t>进入“下一步”。点击“下一步”，</w:t>
      </w:r>
      <w:r>
        <w:t>即可进入商品列表进行选择加入购物车</w:t>
      </w:r>
      <w:r>
        <w:rPr>
          <w:rFonts w:hint="eastAsia"/>
        </w:rPr>
        <w:t xml:space="preserve">，其中商品列表中的商品已由系统自动过滤，在单价与类别均满足该条已提交的拆分计划， 如：提交的计划明细金额为10000，商品数量为2，商品列表中将显示单价小于等于5000的商品，以此类推。进入商品列表后，选择需要的商品加入购物车，如下图： </w:t>
      </w:r>
    </w:p>
    <w:p>
      <w:pPr>
        <w:ind w:firstLine="0" w:firstLineChars="0"/>
        <w:jc w:val="center"/>
      </w:pPr>
      <w:r>
        <w:drawing>
          <wp:inline distT="0" distB="0" distL="0" distR="0">
            <wp:extent cx="5645785" cy="2765425"/>
            <wp:effectExtent l="0" t="0" r="8255" b="825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8228" cy="2766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步骤二：</w:t>
      </w:r>
      <w:r>
        <w:rPr>
          <w:rFonts w:hint="eastAsia"/>
        </w:rPr>
        <w:t>加入购物车。</w:t>
      </w:r>
      <w:r>
        <w:t>选择需要的商品点击</w:t>
      </w:r>
      <w:r>
        <w:rPr>
          <w:rFonts w:hint="eastAsia"/>
        </w:rPr>
        <w:t>“加入购物车”按钮，即可进入购物车。选择商品之后即可，点击“商品对比”进行商品之间的对比。</w:t>
      </w:r>
      <w:r>
        <w:t>进入购物车后可进行相对应的操作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</w:t>
      </w:r>
      <w:r>
        <w:t>图</w:t>
      </w:r>
      <w:r>
        <w:rPr>
          <w:rFonts w:hint="eastAsia"/>
        </w:rPr>
        <w:t>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306695" cy="2627630"/>
            <wp:effectExtent l="0" t="0" r="12065" b="889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10673" cy="263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rPr>
          <w:rFonts w:hint="eastAsia"/>
        </w:rPr>
        <w:t>购物车详情中点击“继续选购”按钮即可进入商品列表继续选购；点击“商品对比”则对比选中的商品；点击“移除购物车”则将选中的商品进行移除到商品列表中。</w:t>
      </w:r>
    </w:p>
    <w:p>
      <w:pPr>
        <w:ind w:firstLine="562"/>
      </w:pPr>
      <w:r>
        <w:rPr>
          <w:rFonts w:hint="eastAsia"/>
          <w:b/>
        </w:rPr>
        <w:t>步骤三：</w:t>
      </w:r>
      <w:r>
        <w:rPr>
          <w:rFonts w:hint="eastAsia"/>
        </w:rPr>
        <w:t>发起单品牌竞价。 在购物车中选择需要竞价的单个商品，</w:t>
      </w:r>
      <w:r>
        <w:t>点击</w:t>
      </w:r>
      <w:r>
        <w:rPr>
          <w:rFonts w:hint="eastAsia"/>
        </w:rPr>
        <w:t>“单品牌竞价”（</w:t>
      </w:r>
      <w:r>
        <w:rPr>
          <w:rFonts w:hint="eastAsia"/>
          <w:color w:val="FF0000"/>
        </w:rPr>
        <w:t>只能选择一个品牌进行竞价操作</w:t>
      </w:r>
      <w:r>
        <w:rPr>
          <w:rFonts w:hint="eastAsia"/>
        </w:rPr>
        <w:t>），进入竞价项目详情页面，如下图：</w:t>
      </w:r>
    </w:p>
    <w:p>
      <w:pPr>
        <w:ind w:firstLine="0" w:firstLineChars="0"/>
        <w:jc w:val="center"/>
      </w:pPr>
      <w:r>
        <w:drawing>
          <wp:inline distT="0" distB="0" distL="0" distR="0">
            <wp:extent cx="6115685" cy="2136140"/>
            <wp:effectExtent l="0" t="0" r="10795" b="1270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568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  <w:rPr>
          <w:color w:val="auto"/>
        </w:rPr>
      </w:pPr>
      <w:r>
        <w:rPr>
          <w:rFonts w:hint="eastAsia"/>
          <w:color w:val="FF0000"/>
        </w:rPr>
        <w:t>*</w:t>
      </w:r>
      <w:r>
        <w:rPr>
          <w:rFonts w:hint="eastAsia"/>
          <w:color w:val="auto"/>
        </w:rPr>
        <w:t>为必填项，选择竞价时段，上午（早上9点开始竞价至中午12点结束），下午（中午14点30至傍晚17点30结束），竞价日期为3个工作日之后的某天。</w:t>
      </w:r>
    </w:p>
    <w:p>
      <w:pPr>
        <w:ind w:firstLine="560"/>
        <w:rPr>
          <w:color w:val="auto"/>
        </w:rPr>
      </w:pPr>
      <w:r>
        <w:rPr>
          <w:rFonts w:hint="eastAsia"/>
          <w:color w:val="auto"/>
        </w:rPr>
        <w:t>用户一旦点击“单品牌竞价”，便在左侧菜单“采购交易”-&gt;</w:t>
      </w:r>
      <w:r>
        <w:rPr>
          <w:rFonts w:hint="eastAsia"/>
          <w:color w:val="auto"/>
          <w:lang w:eastAsia="zh-CN"/>
        </w:rPr>
        <w:t>“</w:t>
      </w:r>
      <w:r>
        <w:rPr>
          <w:rFonts w:hint="eastAsia"/>
          <w:color w:val="auto"/>
        </w:rPr>
        <w:t>竞价”的竞价列表中产生一条竞价记录。</w:t>
      </w:r>
    </w:p>
    <w:p>
      <w:pPr>
        <w:ind w:firstLine="562"/>
      </w:pPr>
      <w:r>
        <w:rPr>
          <w:rFonts w:hint="eastAsia"/>
          <w:b/>
        </w:rPr>
        <w:t>步骤四：</w:t>
      </w:r>
      <w:r>
        <w:rPr>
          <w:rFonts w:hint="eastAsia"/>
        </w:rPr>
        <w:t>提交竞价详情。</w:t>
      </w:r>
      <w:r>
        <w:t>完善竞价信息后</w:t>
      </w:r>
      <w:r>
        <w:rPr>
          <w:rFonts w:hint="eastAsia"/>
        </w:rPr>
        <w:t>，</w:t>
      </w:r>
      <w:r>
        <w:t>点击</w:t>
      </w:r>
      <w:r>
        <w:rPr>
          <w:rFonts w:hint="eastAsia"/>
        </w:rPr>
        <w:t>“提交”</w:t>
      </w:r>
      <w:r>
        <w:t>按钮后</w:t>
      </w:r>
      <w:r>
        <w:rPr>
          <w:rFonts w:hint="eastAsia"/>
        </w:rPr>
        <w:t>，</w:t>
      </w:r>
      <w:r>
        <w:t>进入如</w:t>
      </w:r>
      <w:r>
        <w:rPr>
          <w:rFonts w:hint="eastAsia"/>
        </w:rPr>
        <w:t>下</w:t>
      </w:r>
      <w:r>
        <w:t>图页面</w:t>
      </w:r>
      <w:r>
        <w:rPr>
          <w:rFonts w:hint="eastAsia"/>
        </w:rPr>
        <w:t>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701030" cy="2002155"/>
            <wp:effectExtent l="0" t="0" r="1397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3430" cy="200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步骤五：</w:t>
      </w:r>
      <w:r>
        <w:rPr>
          <w:rFonts w:hint="eastAsia"/>
        </w:rPr>
        <w:t>编辑竞价详情。</w:t>
      </w:r>
      <w:r>
        <w:t>点击</w:t>
      </w:r>
      <w:r>
        <w:rPr>
          <w:rFonts w:hint="eastAsia"/>
        </w:rPr>
        <w:t>“编辑”按钮即可将此竞价详情进行编辑，完成操作后，进入竞价列表即可看到刚新增的竞价项目。</w:t>
      </w:r>
    </w:p>
    <w:p>
      <w:pPr>
        <w:ind w:firstLine="562"/>
      </w:pPr>
      <w:r>
        <w:rPr>
          <w:rFonts w:hint="eastAsia"/>
          <w:b/>
        </w:rPr>
        <w:t>步骤六：</w:t>
      </w:r>
      <w:r>
        <w:rPr>
          <w:rFonts w:hint="eastAsia"/>
        </w:rPr>
        <w:t>发布公告。</w:t>
      </w:r>
      <w:r>
        <w:t>点击</w:t>
      </w:r>
      <w:r>
        <w:rPr>
          <w:rFonts w:hint="eastAsia"/>
        </w:rPr>
        <w:t>“发布公告”按钮，此竞价项目的公告信息将发布到网站首页中公告一栏。</w:t>
      </w:r>
    </w:p>
    <w:p>
      <w:pPr>
        <w:ind w:firstLine="560"/>
      </w:pPr>
      <w:r>
        <w:rPr>
          <w:rFonts w:hint="eastAsia"/>
        </w:rPr>
        <w:t>将竞价公告发布到首页后，经销商看到消息后可登录自己的账号进行对应商品的报价，在竞价开始与结束时间之间均可报价，若已到竞价截止时间，经销商不可再报价。若报价经销商不低于3家，报价最低者获胜；若报价经销商低于3家，则竞价失败。</w:t>
      </w:r>
    </w:p>
    <w:p>
      <w:pPr>
        <w:ind w:firstLine="562"/>
      </w:pPr>
      <w:r>
        <w:rPr>
          <w:rFonts w:hint="eastAsia"/>
          <w:b/>
        </w:rPr>
        <w:t>步骤七：</w:t>
      </w:r>
      <w:r>
        <w:rPr>
          <w:rFonts w:hint="eastAsia"/>
        </w:rPr>
        <w:t>查看竞价结果。</w:t>
      </w:r>
      <w:r>
        <w:rPr>
          <w:rFonts w:hint="eastAsia"/>
          <w:lang w:val="zh-CN"/>
        </w:rPr>
        <w:t>若竞价成功则可查看竞价结果</w:t>
      </w:r>
      <w:r>
        <w:rPr>
          <w:rFonts w:hint="eastAsia"/>
          <w:color w:val="FF0000"/>
          <w:lang w:val="zh-CN"/>
        </w:rPr>
        <w:t>（如下图4）</w:t>
      </w:r>
      <w:r>
        <w:rPr>
          <w:rFonts w:hint="eastAsia"/>
          <w:lang w:val="zh-CN"/>
        </w:rPr>
        <w:t xml:space="preserve">；若竞价失败，可查看竞价失败原因。 </w:t>
      </w:r>
    </w:p>
    <w:p>
      <w:pPr>
        <w:ind w:firstLine="560"/>
        <w:rPr>
          <w:lang w:val="zh-CN"/>
        </w:rPr>
      </w:pPr>
      <w:r>
        <w:rPr>
          <w:rFonts w:hint="eastAsia"/>
        </w:rPr>
        <w:t>步骤五与步骤六亦可在“采购交易”-&gt;“</w:t>
      </w:r>
      <w:r>
        <w:rPr>
          <w:rFonts w:hint="eastAsia"/>
          <w:lang w:val="en-US" w:eastAsia="zh-CN"/>
        </w:rPr>
        <w:t>网上</w:t>
      </w:r>
      <w:r>
        <w:rPr>
          <w:rFonts w:hint="eastAsia"/>
        </w:rPr>
        <w:t>竞价”中竞价列表中操作。在竞价列表中，</w:t>
      </w:r>
      <w:r>
        <w:rPr>
          <w:rFonts w:hint="eastAsia"/>
          <w:lang w:val="zh-CN"/>
        </w:rPr>
        <w:t>若竞价状态为“未发布”即可对此竞价信息进行编辑</w:t>
      </w:r>
      <w:r>
        <w:rPr>
          <w:rFonts w:hint="eastAsia"/>
          <w:color w:val="FF0000"/>
          <w:lang w:val="zh-CN"/>
        </w:rPr>
        <w:t>（编辑，如下图1：）</w:t>
      </w:r>
      <w:r>
        <w:rPr>
          <w:rFonts w:hint="eastAsia"/>
          <w:lang w:val="zh-CN"/>
        </w:rPr>
        <w:t>，若竞价状态为“未发布”即可对此竞价项目进行“发布公告”操作</w:t>
      </w:r>
      <w:r>
        <w:rPr>
          <w:rFonts w:hint="eastAsia"/>
          <w:color w:val="FF0000"/>
          <w:lang w:val="zh-CN"/>
        </w:rPr>
        <w:t>（点击“发布公告”按钮，会将此竞价状态变更为“已发布”，发布公告后则等待竞价开始时间再由报名的经销商进行竞价操作）</w:t>
      </w:r>
      <w:r>
        <w:rPr>
          <w:rFonts w:hint="eastAsia"/>
          <w:lang w:val="zh-CN"/>
        </w:rPr>
        <w:t>，点击“终止”按钮则会将此竞价项目状态变更为终止状态，终止之后此项目则只能查看终止信息</w:t>
      </w:r>
      <w:r>
        <w:rPr>
          <w:rFonts w:hint="eastAsia"/>
          <w:color w:val="FF0000"/>
          <w:lang w:val="zh-CN"/>
        </w:rPr>
        <w:t>（未发布前可终止，发布后的竞价项目不可终止，终止操作如下图2，查看终止信息如下图</w:t>
      </w:r>
      <w:r>
        <w:rPr>
          <w:color w:val="FF0000"/>
          <w:lang w:val="zh-CN"/>
        </w:rPr>
        <w:t>3</w:t>
      </w:r>
      <w:r>
        <w:rPr>
          <w:rFonts w:hint="eastAsia"/>
          <w:color w:val="FF0000"/>
          <w:lang w:val="zh-CN"/>
        </w:rPr>
        <w:t>）</w:t>
      </w:r>
    </w:p>
    <w:p>
      <w:pPr>
        <w:ind w:firstLine="0" w:firstLineChars="0"/>
        <w:jc w:val="center"/>
      </w:pPr>
      <w:r>
        <w:drawing>
          <wp:inline distT="0" distB="0" distL="0" distR="0">
            <wp:extent cx="5704840" cy="2466975"/>
            <wp:effectExtent l="0" t="0" r="10160" b="190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7383" cy="24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sz w:val="21"/>
          <w:szCs w:val="21"/>
        </w:rPr>
      </w:pPr>
      <w:r>
        <w:rPr>
          <w:sz w:val="21"/>
          <w:szCs w:val="21"/>
        </w:rPr>
        <w:t>图</w:t>
      </w:r>
      <w:r>
        <w:rPr>
          <w:rFonts w:hint="eastAsia"/>
          <w:sz w:val="21"/>
          <w:szCs w:val="21"/>
        </w:rPr>
        <w:t>1：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549900" cy="1783715"/>
            <wp:effectExtent l="0" t="0" r="12700" b="1460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3274" cy="178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t>完善信息后</w:t>
      </w:r>
      <w:r>
        <w:rPr>
          <w:rFonts w:hint="eastAsia"/>
        </w:rPr>
        <w:t>，</w:t>
      </w:r>
      <w:r>
        <w:t>点击</w:t>
      </w:r>
      <w:r>
        <w:rPr>
          <w:rFonts w:hint="eastAsia"/>
        </w:rPr>
        <w:t>“提交”按钮，即可跳转到发布公告界面。</w:t>
      </w:r>
    </w:p>
    <w:p>
      <w:pPr>
        <w:ind w:firstLine="420"/>
        <w:rPr>
          <w:sz w:val="21"/>
          <w:szCs w:val="21"/>
        </w:rPr>
      </w:pPr>
      <w:r>
        <w:rPr>
          <w:sz w:val="21"/>
          <w:szCs w:val="21"/>
        </w:rPr>
        <w:t>图</w:t>
      </w:r>
      <w:r>
        <w:rPr>
          <w:rFonts w:hint="eastAsia"/>
          <w:sz w:val="21"/>
          <w:szCs w:val="21"/>
        </w:rPr>
        <w:t>2：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390515" cy="2924175"/>
            <wp:effectExtent l="0" t="0" r="4445" b="190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3113" cy="292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  <w:rPr>
          <w:sz w:val="21"/>
          <w:szCs w:val="21"/>
        </w:rPr>
      </w:pPr>
      <w:r>
        <w:br w:type="page"/>
      </w:r>
      <w:r>
        <w:rPr>
          <w:sz w:val="21"/>
          <w:szCs w:val="21"/>
        </w:rPr>
        <w:t>图</w:t>
      </w:r>
      <w:r>
        <w:rPr>
          <w:rFonts w:hint="eastAsia"/>
          <w:sz w:val="21"/>
          <w:szCs w:val="21"/>
        </w:rPr>
        <w:t>3：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502910" cy="2103755"/>
            <wp:effectExtent l="0" t="0" r="13970" b="146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5352" cy="210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</w:p>
    <w:p>
      <w:pPr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图4：</w:t>
      </w:r>
    </w:p>
    <w:p>
      <w:pPr>
        <w:pStyle w:val="7"/>
        <w:jc w:val="center"/>
      </w:pPr>
      <w:r>
        <w:drawing>
          <wp:inline distT="0" distB="0" distL="0" distR="0">
            <wp:extent cx="5464810" cy="2607945"/>
            <wp:effectExtent l="0" t="0" r="6350" b="1333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8979" cy="2610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</w:pPr>
      <w:r>
        <w:br w:type="page"/>
      </w:r>
    </w:p>
    <w:p>
      <w:pPr>
        <w:pStyle w:val="4"/>
        <w:numPr>
          <w:ilvl w:val="2"/>
          <w:numId w:val="0"/>
        </w:numPr>
        <w:spacing w:after="156"/>
        <w:ind w:leftChars="0"/>
        <w:rPr>
          <w:rFonts w:hint="eastAsia" w:eastAsia="黑体"/>
          <w:lang w:val="en-US" w:eastAsia="zh-CN"/>
        </w:rPr>
      </w:pPr>
      <w:bookmarkStart w:id="4" w:name="_Toc502033562"/>
      <w:r>
        <w:rPr>
          <w:rFonts w:hint="eastAsia"/>
          <w:lang w:val="en-US" w:eastAsia="zh-CN"/>
        </w:rPr>
        <w:t>5</w:t>
      </w:r>
      <w:r>
        <w:rPr>
          <w:rFonts w:hint="eastAsia"/>
        </w:rPr>
        <w:t>比价</w:t>
      </w:r>
      <w:bookmarkEnd w:id="4"/>
    </w:p>
    <w:p>
      <w:pPr>
        <w:ind w:firstLine="560"/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firstLine="560"/>
      </w:pPr>
      <w:r>
        <w:rPr>
          <w:rFonts w:hint="eastAsia"/>
        </w:rPr>
        <w:t>比价分为单品牌比价与多品牌比价，单品牌</w:t>
      </w:r>
      <w:r>
        <w:rPr>
          <w:rFonts w:hint="eastAsia"/>
          <w:lang w:val="en-US" w:eastAsia="zh-CN"/>
        </w:rPr>
        <w:t>比价</w:t>
      </w:r>
      <w:r>
        <w:rPr>
          <w:rFonts w:hint="eastAsia"/>
        </w:rPr>
        <w:t>只允许同一个品牌货物的经销商进行比较，而多品牌比价允许多个品牌经销商进行比价。两种比价方式操作过程基本一致，下面以单品牌比价为例，介绍比价过程：</w:t>
      </w:r>
    </w:p>
    <w:p>
      <w:pPr>
        <w:ind w:firstLine="560"/>
        <w:rPr>
          <w:rFonts w:hint="default" w:eastAsia="仿宋"/>
          <w:lang w:val="en-US" w:eastAsia="zh-CN"/>
        </w:rPr>
      </w:pPr>
      <w:r>
        <w:rPr>
          <w:rFonts w:hint="eastAsia"/>
        </w:rPr>
        <w:t>目前为止，计划已经被拆分，且已提交，</w:t>
      </w:r>
      <w:r>
        <w:rPr>
          <w:rFonts w:hint="eastAsia"/>
          <w:lang w:val="en-US" w:eastAsia="zh-CN"/>
        </w:rPr>
        <w:t>点击下一步，即到购物车页面。</w:t>
      </w:r>
    </w:p>
    <w:p>
      <w:pPr>
        <w:ind w:left="0" w:leftChars="0" w:firstLine="562" w:firstLineChars="200"/>
      </w:pPr>
      <w:r>
        <w:rPr>
          <w:rFonts w:hint="eastAsia"/>
          <w:b/>
        </w:rPr>
        <w:t>步骤一：</w:t>
      </w:r>
      <w:r>
        <w:rPr>
          <w:rFonts w:hint="eastAsia"/>
        </w:rPr>
        <w:t>点击“下一步”，</w:t>
      </w:r>
      <w:r>
        <w:t>即可进入商品列表进行选择加入购物车</w:t>
      </w:r>
      <w:r>
        <w:rPr>
          <w:rFonts w:hint="eastAsia"/>
        </w:rPr>
        <w:t xml:space="preserve">，其中商品列表中的商品已由系统自动过滤，在单价与类别均满足该条已提交的拆分计划， 如：提交的计划明细金额为10000，商品数量为：2，商品列表中将显示单价小于等于5000的商品，以此类推。进入商品列表后，选择需要的商品加入购物车，如下图： </w:t>
      </w:r>
    </w:p>
    <w:p>
      <w:pPr>
        <w:ind w:firstLine="0" w:firstLineChars="0"/>
        <w:jc w:val="center"/>
      </w:pPr>
      <w:r>
        <w:drawing>
          <wp:inline distT="0" distB="0" distL="0" distR="0">
            <wp:extent cx="5502910" cy="2695575"/>
            <wp:effectExtent l="0" t="0" r="13970" b="190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8746" cy="269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步骤二：</w:t>
      </w:r>
      <w:r>
        <w:rPr>
          <w:rFonts w:hint="eastAsia"/>
        </w:rPr>
        <w:t>加入购物车。</w:t>
      </w:r>
      <w:r>
        <w:t>选择需要的商品点击</w:t>
      </w:r>
      <w:r>
        <w:rPr>
          <w:rFonts w:hint="eastAsia"/>
        </w:rPr>
        <w:t>“加入购物车”按钮，即可进入购物车。选择商品之后即可，点击“商品对比”进行商品之间的对比。</w:t>
      </w:r>
      <w:r>
        <w:t>进入购物车后可进行相对应的操作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</w:t>
      </w:r>
      <w:r>
        <w:t>图</w:t>
      </w:r>
      <w:r>
        <w:rPr>
          <w:rFonts w:hint="eastAsia"/>
        </w:rPr>
        <w:t>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447030" cy="2697480"/>
            <wp:effectExtent l="0" t="0" r="889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1018" cy="269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rPr>
          <w:rFonts w:hint="eastAsia"/>
        </w:rPr>
        <w:t>购物车详情中点击“继续选购”按钮即可进入商品列表继续选购；点击“商品对比”则对比选中的商品；点击“移除购物车”则将选中的商品进行移除到商品列表中。</w:t>
      </w:r>
    </w:p>
    <w:p>
      <w:pPr>
        <w:ind w:firstLine="562"/>
      </w:pPr>
      <w:r>
        <w:rPr>
          <w:rFonts w:hint="eastAsia"/>
          <w:b/>
        </w:rPr>
        <w:t>步骤三：</w:t>
      </w:r>
      <w:r>
        <w:rPr>
          <w:rFonts w:hint="eastAsia"/>
        </w:rPr>
        <w:t>发起单品牌比价。 在购物车中选择需要比价的单个商品，</w:t>
      </w:r>
      <w:r>
        <w:t>点击</w:t>
      </w:r>
      <w:r>
        <w:rPr>
          <w:rFonts w:hint="eastAsia"/>
        </w:rPr>
        <w:t>“单品牌比价”（</w:t>
      </w:r>
      <w:r>
        <w:rPr>
          <w:rFonts w:hint="eastAsia"/>
          <w:color w:val="FF0000"/>
        </w:rPr>
        <w:t>只能选择一个品牌进行比价操作</w:t>
      </w:r>
      <w:r>
        <w:rPr>
          <w:rFonts w:hint="eastAsia"/>
        </w:rPr>
        <w:t>），进入经销商选择详情页面，如下图：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486400" cy="1936115"/>
            <wp:effectExtent l="0" t="0" r="0" b="1460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rPr>
          <w:color w:val="auto"/>
        </w:rPr>
      </w:pPr>
      <w:r>
        <w:rPr>
          <w:rFonts w:hint="eastAsia"/>
        </w:rPr>
        <w:t xml:space="preserve"> 在经销商选择页面，多个经销商首先按照价格排序，如果两个或三个经销商价格一样，则系统自动按信用排序。默认情况下，系统自动选择排名第一的经销商，如果更改为其它名次经销商，则需填写成交理由。若经销商数量低于2家，直接提示经销商数量不足，比价失败。</w:t>
      </w:r>
    </w:p>
    <w:p>
      <w:pPr>
        <w:ind w:firstLine="560"/>
        <w:rPr>
          <w:color w:val="auto"/>
        </w:rPr>
      </w:pPr>
      <w:r>
        <w:rPr>
          <w:rFonts w:hint="eastAsia"/>
          <w:color w:val="auto"/>
        </w:rPr>
        <w:t>若经销商数量大于或等于2家，用户点击“单品牌比价”，便在左侧菜单“采购交易”-&gt;“比价”的比价列表中产生一条比价记录。</w:t>
      </w:r>
    </w:p>
    <w:p>
      <w:pPr>
        <w:ind w:firstLine="562"/>
      </w:pPr>
      <w:r>
        <w:rPr>
          <w:rFonts w:hint="eastAsia"/>
          <w:b/>
        </w:rPr>
        <w:t>步骤四：</w:t>
      </w:r>
      <w:r>
        <w:rPr>
          <w:rFonts w:hint="eastAsia"/>
        </w:rPr>
        <w:t>保存经销商选择。选择完经销商之后，点击保存，并</w:t>
      </w:r>
      <w:r>
        <w:t>进入</w:t>
      </w:r>
      <w:r>
        <w:rPr>
          <w:rFonts w:hint="eastAsia"/>
        </w:rPr>
        <w:t>预览并发布公告页面（</w:t>
      </w:r>
      <w:r>
        <w:rPr>
          <w:rFonts w:hint="eastAsia"/>
          <w:color w:val="FF0000"/>
        </w:rPr>
        <w:t>此处可选择不发布</w:t>
      </w:r>
      <w:r>
        <w:rPr>
          <w:rFonts w:hint="eastAsia"/>
        </w:rPr>
        <w:t>），</w:t>
      </w:r>
      <w:r>
        <w:t>如</w:t>
      </w:r>
      <w:r>
        <w:rPr>
          <w:rFonts w:hint="eastAsia"/>
        </w:rPr>
        <w:t>下</w:t>
      </w:r>
      <w:r>
        <w:t>图</w:t>
      </w:r>
      <w:r>
        <w:rPr>
          <w:rFonts w:hint="eastAsia"/>
        </w:rPr>
        <w:t>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486400" cy="2816860"/>
            <wp:effectExtent l="0" t="0" r="0" b="254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/>
      </w:pPr>
      <w:r>
        <w:rPr>
          <w:rFonts w:hint="eastAsia"/>
          <w:b/>
        </w:rPr>
        <w:t>步骤五：</w:t>
      </w:r>
      <w:r>
        <w:rPr>
          <w:rFonts w:hint="eastAsia"/>
        </w:rPr>
        <w:t>发布公告。点击上图中的“确定发布”按钮，或左侧菜单“采购交易”-&gt;“</w:t>
      </w:r>
      <w:bookmarkStart w:id="5" w:name="_GoBack"/>
      <w:bookmarkEnd w:id="5"/>
      <w:r>
        <w:rPr>
          <w:rFonts w:hint="eastAsia"/>
        </w:rPr>
        <w:t>比价”，在比价列表中，点击比价记录对应的“发布公告”进行发布公告，此比价项目的公告信息将发布到网站首页中公告一栏。</w:t>
      </w:r>
    </w:p>
    <w:p>
      <w:pPr>
        <w:ind w:firstLine="560"/>
        <w:rPr>
          <w:lang w:val="zh-CN"/>
        </w:rPr>
      </w:pPr>
      <w:r>
        <w:rPr>
          <w:rFonts w:hint="eastAsia"/>
          <w:lang w:val="zh-CN"/>
        </w:rPr>
        <w:t>在比价列表页面，输入关键字为条件即可进行查询比价信息，点击比价编号即可查看成交结果公告，点击“查看”按钮即可查看比价结果信息，若比价状态为“未发布”或“已发布”即可对此比价信息进行变更</w:t>
      </w:r>
      <w:r>
        <w:rPr>
          <w:rFonts w:hint="eastAsia"/>
          <w:color w:val="FF0000"/>
          <w:lang w:val="zh-CN"/>
        </w:rPr>
        <w:t>（比价信息变更供应商如下图1）</w:t>
      </w:r>
      <w:r>
        <w:rPr>
          <w:rFonts w:hint="eastAsia"/>
          <w:lang w:val="zh-CN"/>
        </w:rPr>
        <w:t>和进行“终止”操作</w:t>
      </w:r>
      <w:r>
        <w:rPr>
          <w:rFonts w:hint="eastAsia"/>
          <w:color w:val="FF0000"/>
          <w:lang w:val="zh-CN"/>
        </w:rPr>
        <w:t>（编辑，如下图</w:t>
      </w:r>
      <w:r>
        <w:rPr>
          <w:color w:val="FF0000"/>
          <w:lang w:val="zh-CN"/>
        </w:rPr>
        <w:t>2</w:t>
      </w:r>
      <w:r>
        <w:rPr>
          <w:rFonts w:hint="eastAsia"/>
          <w:color w:val="FF0000"/>
          <w:lang w:val="zh-CN"/>
        </w:rPr>
        <w:t>：）</w:t>
      </w:r>
      <w:r>
        <w:rPr>
          <w:rFonts w:hint="eastAsia"/>
          <w:lang w:val="zh-CN"/>
        </w:rPr>
        <w:t>，若比价信息未选择供应商则可点击“选择”即可选择供应商，若比价项目已选择供应商则可生成合同信息</w:t>
      </w:r>
      <w:r>
        <w:rPr>
          <w:rFonts w:hint="eastAsia"/>
          <w:color w:val="FF0000"/>
          <w:lang w:val="zh-CN"/>
        </w:rPr>
        <w:t>（如下图3）</w:t>
      </w:r>
      <w:r>
        <w:rPr>
          <w:rFonts w:hint="eastAsia"/>
          <w:lang w:val="zh-CN"/>
        </w:rPr>
        <w:t>，比价列表</w:t>
      </w:r>
      <w:r>
        <w:rPr>
          <w:lang w:val="zh-CN"/>
        </w:rPr>
        <w:t>如图</w:t>
      </w:r>
      <w:r>
        <w:rPr>
          <w:rFonts w:hint="eastAsia"/>
          <w:lang w:val="zh-CN"/>
        </w:rPr>
        <w:t xml:space="preserve">： </w:t>
      </w:r>
    </w:p>
    <w:p>
      <w:pPr>
        <w:ind w:firstLine="0" w:firstLineChars="0"/>
        <w:jc w:val="center"/>
      </w:pPr>
      <w:r>
        <w:drawing>
          <wp:inline distT="0" distB="0" distL="0" distR="0">
            <wp:extent cx="5010785" cy="2187575"/>
            <wp:effectExtent l="0" t="0" r="3175" b="698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1739" cy="218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color w:val="FF0000"/>
        </w:rPr>
      </w:pPr>
      <w:r>
        <w:rPr>
          <w:sz w:val="21"/>
          <w:szCs w:val="21"/>
        </w:rPr>
        <w:t>图</w:t>
      </w:r>
      <w:r>
        <w:rPr>
          <w:rFonts w:hint="eastAsia"/>
          <w:sz w:val="21"/>
          <w:szCs w:val="21"/>
        </w:rPr>
        <w:t>1：</w:t>
      </w:r>
      <w:r>
        <w:rPr>
          <w:rFonts w:hint="eastAsia"/>
          <w:color w:val="FF0000"/>
        </w:rPr>
        <w:t>（选择需要变更的供应商点击“确定”按钮进入填写变更理由</w:t>
      </w:r>
      <w:r>
        <w:rPr>
          <w:rFonts w:hint="eastAsia"/>
          <w:color w:val="FF0000"/>
          <w:lang w:val="en-US" w:eastAsia="zh-CN"/>
        </w:rPr>
        <w:t>并上传附件</w:t>
      </w:r>
      <w:r>
        <w:rPr>
          <w:rFonts w:hint="eastAsia"/>
          <w:color w:val="FF0000"/>
        </w:rPr>
        <w:t>即可）</w:t>
      </w:r>
    </w:p>
    <w:p>
      <w:pPr>
        <w:ind w:firstLine="0" w:firstLineChars="0"/>
        <w:jc w:val="center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572760" cy="2676525"/>
            <wp:effectExtent l="0" t="0" r="5080" b="5715"/>
            <wp:docPr id="1" name="图片 1" descr="DBD6E57A-1D9B-4bc9-99DB-28EC9A76AF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BD6E57A-1D9B-4bc9-99DB-28EC9A76AF0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7276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rPr>
          <w:sz w:val="21"/>
          <w:szCs w:val="21"/>
        </w:rPr>
      </w:pPr>
      <w:r>
        <w:rPr>
          <w:sz w:val="21"/>
          <w:szCs w:val="21"/>
        </w:rPr>
        <w:t>图</w:t>
      </w:r>
      <w:r>
        <w:rPr>
          <w:rFonts w:hint="eastAsia"/>
          <w:sz w:val="21"/>
          <w:szCs w:val="21"/>
        </w:rPr>
        <w:t>2：</w:t>
      </w:r>
    </w:p>
    <w:p>
      <w:pPr>
        <w:ind w:firstLine="0" w:firstLineChars="0"/>
        <w:jc w:val="center"/>
      </w:pPr>
      <w:r>
        <w:drawing>
          <wp:inline distT="0" distB="0" distL="0" distR="0">
            <wp:extent cx="5327650" cy="1234440"/>
            <wp:effectExtent l="0" t="0" r="635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0486" cy="123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/>
      </w:pPr>
      <w:r>
        <w:br w:type="page"/>
      </w:r>
    </w:p>
    <w:p>
      <w:r>
        <w:drawing>
          <wp:inline distT="0" distB="0" distL="0" distR="0">
            <wp:extent cx="5486400" cy="2399665"/>
            <wp:effectExtent l="0" t="0" r="0" b="825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6议价（仅针对公务用车）</w:t>
      </w:r>
    </w:p>
    <w:p>
      <w:pPr>
        <w:ind w:firstLine="56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firstLine="560"/>
        <w:rPr>
          <w:rFonts w:hint="eastAsia"/>
        </w:rPr>
      </w:pPr>
      <w:r>
        <w:rPr>
          <w:rFonts w:hint="eastAsia"/>
          <w:lang w:val="en-US" w:eastAsia="zh-CN"/>
        </w:rPr>
        <w:t>议价</w:t>
      </w:r>
      <w:r>
        <w:rPr>
          <w:rFonts w:hint="eastAsia"/>
        </w:rPr>
        <w:t>只允许同一个品牌货物的经销商进行</w:t>
      </w:r>
      <w:r>
        <w:rPr>
          <w:rFonts w:hint="eastAsia"/>
          <w:lang w:val="en-US" w:eastAsia="zh-CN"/>
        </w:rPr>
        <w:t>一对一</w:t>
      </w:r>
      <w:r>
        <w:rPr>
          <w:rFonts w:hint="eastAsia"/>
        </w:rPr>
        <w:t>比较，</w:t>
      </w:r>
      <w:r>
        <w:rPr>
          <w:rFonts w:hint="eastAsia"/>
          <w:lang w:val="en-US" w:eastAsia="zh-CN"/>
        </w:rPr>
        <w:t>下面</w:t>
      </w:r>
      <w:r>
        <w:rPr>
          <w:rFonts w:hint="eastAsia"/>
        </w:rPr>
        <w:t>介绍</w:t>
      </w:r>
      <w:r>
        <w:rPr>
          <w:rFonts w:hint="eastAsia"/>
          <w:lang w:val="en-US" w:eastAsia="zh-CN"/>
        </w:rPr>
        <w:t>议价</w:t>
      </w:r>
      <w:r>
        <w:rPr>
          <w:rFonts w:hint="eastAsia"/>
        </w:rPr>
        <w:t>过程：</w:t>
      </w:r>
    </w:p>
    <w:p>
      <w:pPr>
        <w:ind w:left="0" w:leftChars="0" w:firstLine="562" w:firstLineChars="200"/>
        <w:rPr>
          <w:rFonts w:hint="eastAsia"/>
        </w:rPr>
      </w:pPr>
      <w:r>
        <w:rPr>
          <w:rFonts w:hint="eastAsia"/>
          <w:b/>
        </w:rPr>
        <w:t>步骤一：</w:t>
      </w:r>
      <w:r>
        <w:rPr>
          <w:rFonts w:hint="eastAsia"/>
          <w:b w:val="0"/>
          <w:bCs/>
          <w:lang w:val="en-US" w:eastAsia="zh-CN"/>
        </w:rPr>
        <w:t>在商品列表页</w:t>
      </w:r>
      <w:r>
        <w:rPr>
          <w:rFonts w:hint="eastAsia"/>
        </w:rPr>
        <w:t xml:space="preserve">，选择需要的商品加入购物车，如下图： </w:t>
      </w:r>
    </w:p>
    <w:p>
      <w:pPr>
        <w:ind w:left="0" w:leftChars="0" w:firstLine="560" w:firstLineChars="200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273675" cy="2460625"/>
            <wp:effectExtent l="0" t="0" r="14605" b="8255"/>
            <wp:docPr id="5" name="图片 5" descr="A752D51B-EAE7-4b93-8009-631AC27F5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752D51B-EAE7-4b93-8009-631AC27F588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562" w:firstLineChars="200"/>
        <w:rPr>
          <w:rFonts w:hint="eastAsia" w:eastAsia="仿宋"/>
          <w:lang w:eastAsia="zh-CN"/>
        </w:rPr>
      </w:pPr>
      <w:r>
        <w:rPr>
          <w:rFonts w:hint="eastAsia"/>
          <w:b/>
        </w:rPr>
        <w:t>步骤二：</w:t>
      </w:r>
      <w:r>
        <w:rPr>
          <w:rFonts w:hint="eastAsia"/>
          <w:b w:val="0"/>
          <w:bCs/>
          <w:lang w:val="en-US" w:eastAsia="zh-CN"/>
        </w:rPr>
        <w:t>商品</w:t>
      </w:r>
      <w:r>
        <w:rPr>
          <w:rFonts w:hint="eastAsia"/>
        </w:rPr>
        <w:t>加入购物车</w:t>
      </w:r>
      <w:r>
        <w:rPr>
          <w:rFonts w:hint="eastAsia"/>
          <w:lang w:val="en-US" w:eastAsia="zh-CN"/>
        </w:rPr>
        <w:t>后，采购方式选择议价</w:t>
      </w:r>
      <w:r>
        <w:rPr>
          <w:rFonts w:hint="eastAsia"/>
        </w:rPr>
        <w:t>。</w:t>
      </w:r>
      <w:r>
        <w:t>进入购物车后可进行相对应的操作</w:t>
      </w:r>
      <w:r>
        <w:rPr>
          <w:rFonts w:hint="eastAsia"/>
        </w:rPr>
        <w:t>，</w:t>
      </w:r>
      <w:r>
        <w:t>如</w:t>
      </w:r>
      <w:r>
        <w:rPr>
          <w:rFonts w:hint="eastAsia"/>
        </w:rPr>
        <w:t>下</w:t>
      </w:r>
      <w:r>
        <w:t>图</w:t>
      </w:r>
      <w:r>
        <w:rPr>
          <w:rFonts w:hint="eastAsia"/>
        </w:rPr>
        <w:t>：</w:t>
      </w:r>
    </w:p>
    <w:p>
      <w:pPr>
        <w:ind w:firstLine="560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274310" cy="2112645"/>
            <wp:effectExtent l="0" t="0" r="13970" b="5715"/>
            <wp:docPr id="9" name="图片 9" descr="88DA25E1-2412-41d5-ADFD-0168FE338E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88DA25E1-2412-41d5-ADFD-0168FE338E9A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/>
        <w:rPr>
          <w:rFonts w:hint="eastAsia" w:eastAsia="仿宋"/>
          <w:lang w:eastAsia="zh-CN"/>
        </w:rPr>
      </w:pPr>
    </w:p>
    <w:p>
      <w:pPr>
        <w:rPr>
          <w:rFonts w:hint="default"/>
          <w:b w:val="0"/>
          <w:bCs/>
          <w:lang w:val="en-US" w:eastAsia="zh-CN"/>
        </w:rPr>
      </w:pPr>
      <w:r>
        <w:rPr>
          <w:rFonts w:hint="eastAsia"/>
          <w:b/>
        </w:rPr>
        <w:t>步骤</w:t>
      </w:r>
      <w:r>
        <w:rPr>
          <w:rFonts w:hint="eastAsia"/>
          <w:b/>
          <w:lang w:val="en-US" w:eastAsia="zh-CN"/>
        </w:rPr>
        <w:t>三：</w:t>
      </w:r>
      <w:r>
        <w:rPr>
          <w:rFonts w:hint="eastAsia"/>
          <w:b w:val="0"/>
          <w:bCs/>
          <w:lang w:val="en-US" w:eastAsia="zh-CN"/>
        </w:rPr>
        <w:t>填写采购项目信息，选择协议供应商进行一对一议价。填写完成后提交，如下图：</w:t>
      </w:r>
    </w:p>
    <w:p>
      <w:pPr>
        <w:ind w:left="0" w:leftChars="0" w:firstLine="0" w:firstLineChars="0"/>
        <w:rPr>
          <w:rFonts w:hint="default"/>
          <w:b w:val="0"/>
          <w:bCs/>
          <w:lang w:val="en-US" w:eastAsia="zh-CN"/>
        </w:rPr>
      </w:pPr>
    </w:p>
    <w:p>
      <w:pPr>
        <w:rPr>
          <w:rFonts w:hint="default"/>
          <w:b/>
          <w:lang w:val="en-US" w:eastAsia="zh-CN"/>
        </w:rPr>
      </w:pPr>
      <w:r>
        <w:rPr>
          <w:rFonts w:hint="default"/>
          <w:b/>
          <w:lang w:val="en-US" w:eastAsia="zh-CN"/>
        </w:rPr>
        <w:drawing>
          <wp:inline distT="0" distB="0" distL="114300" distR="114300">
            <wp:extent cx="5263515" cy="2465705"/>
            <wp:effectExtent l="0" t="0" r="9525" b="3175"/>
            <wp:docPr id="11" name="图片 11" descr="AF23FC50-78CE-4099-AA34-18F16971F2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F23FC50-78CE-4099-AA34-18F16971F2C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/>
          <w:lang w:val="en-US" w:eastAsia="zh-CN"/>
        </w:rPr>
      </w:pPr>
    </w:p>
    <w:p>
      <w:pPr>
        <w:rPr>
          <w:rFonts w:hint="default"/>
          <w:b w:val="0"/>
          <w:bCs/>
          <w:lang w:val="en-US" w:eastAsia="zh-CN"/>
        </w:rPr>
      </w:pPr>
      <w:r>
        <w:rPr>
          <w:rFonts w:hint="default"/>
          <w:b/>
          <w:lang w:val="en-US" w:eastAsia="zh-CN"/>
        </w:rPr>
        <w:t>步骤</w:t>
      </w:r>
      <w:r>
        <w:rPr>
          <w:rFonts w:hint="eastAsia"/>
          <w:b/>
          <w:lang w:val="en-US" w:eastAsia="zh-CN"/>
        </w:rPr>
        <w:t>四</w:t>
      </w:r>
      <w:r>
        <w:rPr>
          <w:rFonts w:hint="default"/>
          <w:b/>
          <w:lang w:val="en-US" w:eastAsia="zh-CN"/>
        </w:rPr>
        <w:t>：</w:t>
      </w:r>
      <w:r>
        <w:rPr>
          <w:rFonts w:hint="eastAsia"/>
          <w:b w:val="0"/>
          <w:bCs/>
          <w:lang w:val="en-US" w:eastAsia="zh-CN"/>
        </w:rPr>
        <w:t>项目信息填写完成后，等待供应商进行报价（如图一）；供应商线上提交报价后，采购人确认报价信息（如图二）</w:t>
      </w:r>
    </w:p>
    <w:p>
      <w:pPr>
        <w:rPr>
          <w:rFonts w:hint="default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图一：</w:t>
      </w:r>
      <w:r>
        <w:rPr>
          <w:rFonts w:hint="default"/>
          <w:b w:val="0"/>
          <w:bCs/>
          <w:lang w:val="en-US" w:eastAsia="zh-CN"/>
        </w:rPr>
        <w:drawing>
          <wp:inline distT="0" distB="0" distL="114300" distR="114300">
            <wp:extent cx="5271770" cy="1722755"/>
            <wp:effectExtent l="0" t="0" r="1270" b="14605"/>
            <wp:docPr id="12" name="图片 12" descr="129287D1-3958-4e4e-B5DF-9FCE2D8B4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29287D1-3958-4e4e-B5DF-9FCE2D8B439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7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图二：</w:t>
      </w:r>
    </w:p>
    <w:p>
      <w:pPr>
        <w:ind w:left="0" w:leftChars="0" w:firstLine="0" w:firstLineChars="0"/>
        <w:rPr>
          <w:rFonts w:hint="default"/>
          <w:b w:val="0"/>
          <w:bCs/>
          <w:lang w:val="en-US" w:eastAsia="zh-CN"/>
        </w:rPr>
      </w:pPr>
      <w:r>
        <w:rPr>
          <w:rFonts w:hint="default"/>
          <w:b w:val="0"/>
          <w:bCs/>
          <w:lang w:val="en-US" w:eastAsia="zh-CN"/>
        </w:rPr>
        <w:drawing>
          <wp:inline distT="0" distB="0" distL="114300" distR="114300">
            <wp:extent cx="5263515" cy="1990725"/>
            <wp:effectExtent l="0" t="0" r="9525" b="5715"/>
            <wp:docPr id="13" name="图片 13" descr="76280EBD-9B1F-4ace-AB06-3C95FBA227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76280EBD-9B1F-4ace-AB06-3C95FBA227C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/>
          <w:b w:val="0"/>
          <w:bCs/>
          <w:lang w:val="en-US" w:eastAsia="zh-CN"/>
        </w:rPr>
      </w:pPr>
    </w:p>
    <w:p>
      <w:pPr>
        <w:ind w:left="0" w:leftChars="0" w:firstLine="0" w:firstLineChars="0"/>
        <w:rPr>
          <w:rFonts w:hint="eastAsia"/>
          <w:b w:val="0"/>
          <w:bCs/>
          <w:lang w:val="en-US" w:eastAsia="zh-CN"/>
        </w:rPr>
      </w:pPr>
      <w:r>
        <w:rPr>
          <w:rFonts w:hint="default"/>
          <w:b/>
          <w:lang w:val="en-US" w:eastAsia="zh-CN"/>
        </w:rPr>
        <w:t>步骤</w:t>
      </w:r>
      <w:r>
        <w:rPr>
          <w:rFonts w:hint="eastAsia"/>
          <w:b/>
          <w:lang w:val="en-US" w:eastAsia="zh-CN"/>
        </w:rPr>
        <w:t>五</w:t>
      </w:r>
      <w:r>
        <w:rPr>
          <w:rFonts w:hint="default"/>
          <w:b/>
          <w:lang w:val="en-US" w:eastAsia="zh-CN"/>
        </w:rPr>
        <w:t>：</w:t>
      </w:r>
      <w:r>
        <w:rPr>
          <w:rFonts w:hint="eastAsia"/>
          <w:b w:val="0"/>
          <w:bCs/>
          <w:lang w:val="en-US" w:eastAsia="zh-CN"/>
        </w:rPr>
        <w:t>采购人确认报价信息结果</w:t>
      </w:r>
    </w:p>
    <w:p>
      <w:pPr>
        <w:ind w:left="0" w:leftChars="0" w:firstLine="0" w:firstLineChars="0"/>
        <w:rPr>
          <w:rFonts w:hint="default"/>
          <w:b w:val="0"/>
          <w:bCs/>
          <w:lang w:val="en-US" w:eastAsia="zh-CN"/>
        </w:rPr>
      </w:pPr>
      <w:r>
        <w:rPr>
          <w:rFonts w:hint="default"/>
          <w:b w:val="0"/>
          <w:bCs/>
          <w:lang w:val="en-US" w:eastAsia="zh-CN"/>
        </w:rPr>
        <w:drawing>
          <wp:inline distT="0" distB="0" distL="114300" distR="114300">
            <wp:extent cx="5260340" cy="2151380"/>
            <wp:effectExtent l="0" t="0" r="12700" b="12700"/>
            <wp:docPr id="14" name="图片 14" descr="C39F0492-7005-44c9-A686-EB8FCDC1C2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39F0492-7005-44c9-A686-EB8FCDC1C2CF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b/>
          <w:lang w:val="en-US" w:eastAsia="zh-CN"/>
        </w:rPr>
      </w:pPr>
    </w:p>
    <w:p>
      <w:pPr>
        <w:ind w:left="0" w:leftChars="0" w:firstLine="0" w:firstLineChars="0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</w:p>
    <w:p>
      <w:pPr>
        <w:ind w:left="0" w:leftChars="0" w:firstLine="0" w:firstLineChars="0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</w:p>
    <w:p>
      <w:pPr>
        <w:ind w:left="0" w:leftChars="0" w:firstLine="0" w:firstLineChars="0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</w:p>
    <w:p>
      <w:pPr>
        <w:ind w:left="0" w:leftChars="0" w:firstLine="0" w:firstLineChars="0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7生成合同</w:t>
      </w:r>
    </w:p>
    <w:p>
      <w:pP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left="0" w:leftChars="0" w:firstLine="280" w:firstLineChars="100"/>
        <w:rPr>
          <w:rFonts w:hint="eastAsia"/>
        </w:rPr>
      </w:pPr>
      <w:r>
        <w:rPr>
          <w:rFonts w:hint="eastAsia"/>
          <w:lang w:val="en-US" w:eastAsia="zh-CN"/>
        </w:rPr>
        <w:t>公开竞价</w:t>
      </w:r>
      <w:r>
        <w:rPr>
          <w:rFonts w:hint="eastAsia"/>
          <w:lang w:eastAsia="zh-CN"/>
        </w:rPr>
        <w:t>、</w:t>
      </w:r>
      <w:r>
        <w:rPr>
          <w:rFonts w:hint="eastAsia"/>
        </w:rPr>
        <w:t>比价</w:t>
      </w:r>
      <w:r>
        <w:rPr>
          <w:rFonts w:hint="eastAsia"/>
          <w:lang w:val="en-US" w:eastAsia="zh-CN"/>
        </w:rPr>
        <w:t>或议价方式</w:t>
      </w:r>
      <w:r>
        <w:rPr>
          <w:rFonts w:hint="eastAsia"/>
        </w:rPr>
        <w:t>发布</w:t>
      </w:r>
      <w:r>
        <w:rPr>
          <w:rFonts w:hint="eastAsia"/>
          <w:lang w:val="en-US" w:eastAsia="zh-CN"/>
        </w:rPr>
        <w:t>结果</w:t>
      </w:r>
      <w:r>
        <w:rPr>
          <w:rFonts w:hint="eastAsia"/>
        </w:rPr>
        <w:t>公告之后，</w:t>
      </w:r>
      <w:r>
        <w:rPr>
          <w:rFonts w:hint="eastAsia"/>
          <w:lang w:val="en-US" w:eastAsia="zh-CN"/>
        </w:rPr>
        <w:t>下一步可</w:t>
      </w:r>
      <w:r>
        <w:rPr>
          <w:rFonts w:hint="eastAsia"/>
        </w:rPr>
        <w:t>生成合同</w:t>
      </w:r>
      <w:r>
        <w:rPr>
          <w:rFonts w:hint="eastAsia"/>
          <w:lang w:eastAsia="zh-CN"/>
        </w:rPr>
        <w:t>，</w:t>
      </w:r>
      <w:r>
        <w:rPr>
          <w:rFonts w:hint="eastAsia"/>
        </w:rPr>
        <w:t>如下图：</w:t>
      </w:r>
    </w:p>
    <w:p>
      <w:pPr>
        <w:ind w:left="0" w:leftChars="0" w:firstLine="280" w:firstLineChars="100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263515" cy="1657985"/>
            <wp:effectExtent l="0" t="0" r="9525" b="3175"/>
            <wp:docPr id="15" name="图片 15" descr="882BA510-6D3F-4dc5-86DA-9C379D09773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882BA510-6D3F-4dc5-86DA-9C379D09773C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65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发布公告</w:t>
      </w:r>
    </w:p>
    <w:p>
      <w:pPr>
        <w:ind w:firstLine="56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/>
        </w:rPr>
        <w:t>该操作由</w:t>
      </w:r>
      <w:r>
        <w:rPr>
          <w:rFonts w:hint="eastAsia" w:ascii="Times New Roman" w:eastAsia="仿宋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ind w:left="0" w:leftChars="0" w:firstLine="280" w:firstLineChars="100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点击左侧《采购交易》菜单下面-选择《我的合同》，下一步发布合同公告，如下图：</w:t>
      </w:r>
    </w:p>
    <w:p>
      <w:pPr>
        <w:ind w:left="0" w:leftChars="0" w:firstLine="280" w:firstLineChars="100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drawing>
          <wp:inline distT="0" distB="0" distL="114300" distR="114300">
            <wp:extent cx="5268595" cy="2131060"/>
            <wp:effectExtent l="0" t="0" r="4445" b="2540"/>
            <wp:docPr id="16" name="图片 16" descr="9AE06EEE-1DB8-402d-9ABB-28DD5B9DDE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9AE06EEE-1DB8-402d-9ABB-28DD5B9DDE95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履约验收</w:t>
      </w:r>
    </w:p>
    <w:p>
      <w:pPr>
        <w:ind w:firstLine="560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/>
        </w:rPr>
        <w:t>该操作由</w:t>
      </w:r>
      <w:r>
        <w:rPr>
          <w:rFonts w:hint="eastAsia"/>
          <w:b/>
          <w:lang w:val="en-US" w:eastAsia="zh-CN"/>
        </w:rPr>
        <w:t>采购</w:t>
      </w:r>
      <w:r>
        <w:rPr>
          <w:rFonts w:hint="eastAsia"/>
          <w:b/>
        </w:rPr>
        <w:t>经办员</w:t>
      </w:r>
      <w:r>
        <w:rPr>
          <w:rFonts w:hint="eastAsia"/>
        </w:rPr>
        <w:t>操作。</w:t>
      </w:r>
    </w:p>
    <w:p>
      <w:pPr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合同发布后，</w:t>
      </w:r>
      <w:r>
        <w:rPr>
          <w:rFonts w:hint="eastAsia"/>
          <w:b w:val="0"/>
          <w:bCs w:val="0"/>
          <w:lang w:val="en-US" w:eastAsia="zh-CN"/>
        </w:rPr>
        <w:t>点击左侧《采购交易》菜单下面-选择《履约验收》，</w:t>
      </w:r>
      <w:r>
        <w:rPr>
          <w:rFonts w:hint="eastAsia"/>
        </w:rPr>
        <w:t>点击“通过验收”或“不通过验收”按钮进入评价页面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如下图：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150" cy="2228850"/>
            <wp:effectExtent l="0" t="0" r="8890" b="11430"/>
            <wp:docPr id="32" name="图片 32" descr="81181575-16FB-4259-94A5-87BD12273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81181575-16FB-4259-94A5-87BD1227327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lang w:val="en-US" w:eastAsia="zh-CN"/>
        </w:rPr>
      </w:pPr>
    </w:p>
    <w:p>
      <w:pPr>
        <w:ind w:left="0" w:leftChars="0" w:firstLine="0" w:firstLineChars="0"/>
        <w:rPr>
          <w:rFonts w:hint="default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b/>
          <w:sz w:val="32"/>
          <w:szCs w:val="32"/>
          <w:lang w:val="en-US" w:eastAsia="zh-CN"/>
        </w:rPr>
        <w:drawing>
          <wp:inline distT="0" distB="0" distL="114300" distR="114300">
            <wp:extent cx="5267960" cy="2151380"/>
            <wp:effectExtent l="0" t="0" r="5080" b="12700"/>
            <wp:docPr id="33" name="图片 33" descr="D2AE60FF-F318-4fd2-8FDE-771A702592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D2AE60FF-F318-4fd2-8FDE-771A7025929A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86AF5"/>
    <w:multiLevelType w:val="multilevel"/>
    <w:tmpl w:val="5F586AF5"/>
    <w:lvl w:ilvl="0" w:tentative="0">
      <w:start w:val="1"/>
      <w:numFmt w:val="decimal"/>
      <w:pStyle w:val="2"/>
      <w:suff w:val="space"/>
      <w:lvlText w:val="%1"/>
      <w:lvlJc w:val="left"/>
      <w:pPr>
        <w:ind w:left="0" w:firstLine="0"/>
      </w:pPr>
      <w:rPr>
        <w:rFonts w:hint="default" w:ascii="Times New Roman" w:hAnsi="Times New Roman" w:eastAsia="仿宋_GB2312" w:cs="Times New Roman"/>
        <w:b/>
        <w:i w:val="0"/>
        <w:sz w:val="44"/>
        <w:szCs w:val="36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default" w:ascii="Times New Roman" w:hAnsi="Times New Roman" w:eastAsia="仿宋_GB2312"/>
        <w:b/>
        <w:i w:val="0"/>
        <w:sz w:val="36"/>
        <w:szCs w:val="32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ind w:left="0" w:firstLine="0"/>
      </w:pPr>
      <w:rPr>
        <w:rFonts w:hint="default" w:ascii="Times New Roman" w:hAnsi="Times New Roman" w:eastAsia="仿宋_GB2312"/>
        <w:b/>
        <w:i w:val="0"/>
        <w:sz w:val="32"/>
        <w:szCs w:val="30"/>
      </w:rPr>
    </w:lvl>
    <w:lvl w:ilvl="3" w:tentative="0">
      <w:start w:val="1"/>
      <w:numFmt w:val="decimal"/>
      <w:lvlRestart w:val="0"/>
      <w:suff w:val="space"/>
      <w:lvlText w:val="%1.%2.%3.%4"/>
      <w:lvlJc w:val="left"/>
      <w:pPr>
        <w:ind w:left="0" w:firstLine="0"/>
      </w:pPr>
      <w:rPr>
        <w:rFonts w:hint="default" w:ascii="Times New Roman" w:hAnsi="Times New Roman" w:eastAsia="仿宋_GB2312"/>
        <w:b/>
        <w:i w:val="0"/>
        <w:sz w:val="30"/>
        <w:szCs w:val="28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 w:ascii="Times New Roman" w:hAnsi="Times New Roman" w:eastAsia="仿宋_GB2312"/>
        <w:b/>
        <w:i w:val="0"/>
        <w:sz w:val="28"/>
        <w:szCs w:val="24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eastAsia" w:ascii="Arial Unicode MS" w:hAnsi="Arial Unicode MS" w:eastAsia="宋体"/>
        <w:b/>
        <w:i w:val="0"/>
        <w:sz w:val="24"/>
        <w:szCs w:val="24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1">
    <w:nsid w:val="64FAA0A3"/>
    <w:multiLevelType w:val="singleLevel"/>
    <w:tmpl w:val="64FAA0A3"/>
    <w:lvl w:ilvl="0" w:tentative="0">
      <w:start w:val="8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82D73"/>
    <w:rsid w:val="018A09F7"/>
    <w:rsid w:val="07313333"/>
    <w:rsid w:val="074D7570"/>
    <w:rsid w:val="07D257C2"/>
    <w:rsid w:val="0ABE0904"/>
    <w:rsid w:val="0B0E67E0"/>
    <w:rsid w:val="0C5329B2"/>
    <w:rsid w:val="0EEB7776"/>
    <w:rsid w:val="0EED3F28"/>
    <w:rsid w:val="115620CA"/>
    <w:rsid w:val="12EE2BD2"/>
    <w:rsid w:val="16FD2167"/>
    <w:rsid w:val="19874E46"/>
    <w:rsid w:val="1A442D74"/>
    <w:rsid w:val="1A641821"/>
    <w:rsid w:val="1A920465"/>
    <w:rsid w:val="1C130F11"/>
    <w:rsid w:val="1DF61977"/>
    <w:rsid w:val="1E7D6197"/>
    <w:rsid w:val="1FA3685F"/>
    <w:rsid w:val="20636F7D"/>
    <w:rsid w:val="21964CCA"/>
    <w:rsid w:val="23741CA0"/>
    <w:rsid w:val="23FC1994"/>
    <w:rsid w:val="2842166B"/>
    <w:rsid w:val="2B8248F9"/>
    <w:rsid w:val="2C2751CE"/>
    <w:rsid w:val="2D6E21FF"/>
    <w:rsid w:val="32C0233C"/>
    <w:rsid w:val="35537D19"/>
    <w:rsid w:val="35797C67"/>
    <w:rsid w:val="359B6AB2"/>
    <w:rsid w:val="395A5A74"/>
    <w:rsid w:val="39CA6AEC"/>
    <w:rsid w:val="3A492915"/>
    <w:rsid w:val="3B673D6C"/>
    <w:rsid w:val="3D8F2CE6"/>
    <w:rsid w:val="3DBC016F"/>
    <w:rsid w:val="3F0335B4"/>
    <w:rsid w:val="4109224D"/>
    <w:rsid w:val="412231E8"/>
    <w:rsid w:val="42017B2B"/>
    <w:rsid w:val="43765CD4"/>
    <w:rsid w:val="44387EA9"/>
    <w:rsid w:val="476E1F0F"/>
    <w:rsid w:val="4A6C21CD"/>
    <w:rsid w:val="4BEF4EE2"/>
    <w:rsid w:val="4CAD7613"/>
    <w:rsid w:val="4E152E25"/>
    <w:rsid w:val="4FC72036"/>
    <w:rsid w:val="546314E9"/>
    <w:rsid w:val="546B2A77"/>
    <w:rsid w:val="57340AAC"/>
    <w:rsid w:val="58A01DF8"/>
    <w:rsid w:val="59675E14"/>
    <w:rsid w:val="67090C94"/>
    <w:rsid w:val="6BFD2702"/>
    <w:rsid w:val="6F151ADE"/>
    <w:rsid w:val="73C82D73"/>
    <w:rsid w:val="74C7521E"/>
    <w:rsid w:val="75497875"/>
    <w:rsid w:val="766527E6"/>
    <w:rsid w:val="7AAC7186"/>
    <w:rsid w:val="7B59547C"/>
    <w:rsid w:val="7C52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200" w:firstLineChars="200"/>
    </w:pPr>
    <w:rPr>
      <w:rFonts w:ascii="Times New Roman" w:hAnsi="Times New Roman" w:eastAsia="仿宋" w:cs="Times New Roman"/>
      <w:color w:val="000000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/>
      <w:numPr>
        <w:ilvl w:val="0"/>
        <w:numId w:val="1"/>
      </w:numPr>
      <w:spacing w:before="312" w:afterLines="50" w:line="360" w:lineRule="auto"/>
      <w:ind w:firstLineChars="0"/>
      <w:outlineLvl w:val="0"/>
    </w:pPr>
    <w:rPr>
      <w:rFonts w:eastAsia="黑体" w:cs="Arial"/>
      <w:b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afterLines="50" w:line="360" w:lineRule="auto"/>
      <w:ind w:firstLineChars="0"/>
      <w:outlineLvl w:val="1"/>
    </w:pPr>
    <w:rPr>
      <w:rFonts w:eastAsia="黑体"/>
      <w:b/>
      <w:b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312" w:after="50" w:afterLines="50" w:line="360" w:lineRule="auto"/>
      <w:ind w:firstLineChars="0"/>
      <w:outlineLvl w:val="2"/>
    </w:pPr>
    <w:rPr>
      <w:rFonts w:eastAsia="黑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文档正文"/>
    <w:basedOn w:val="1"/>
    <w:qFormat/>
    <w:uiPriority w:val="0"/>
    <w:pPr>
      <w:ind w:firstLine="0" w:firstLineChars="0"/>
      <w:jc w:val="both"/>
    </w:pPr>
    <w:rPr>
      <w:rFonts w:ascii="Arial" w:hAnsi="Arial" w:eastAsia="宋体"/>
      <w:color w:val="auto"/>
      <w:kern w:val="0"/>
      <w:sz w:val="2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2020-12-23T01:12:00Z</dcterms:created>
  <dc:creator>Shaina</dc:creator>
  <cp:lastModifiedBy>Shaina</cp:lastModifiedBy>
  <dcterms:modified xsi:type="dcterms:W3CDTF">2020-12-28T09:35:37Z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